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unito Sans" w:cs="Nunito Sans" w:eastAsia="Nunito Sans" w:hAnsi="Nunito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05.0" w:type="dxa"/>
        <w:jc w:val="left"/>
        <w:tblInd w:w="-3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90"/>
        <w:gridCol w:w="7275"/>
        <w:gridCol w:w="1440"/>
        <w:tblGridChange w:id="0">
          <w:tblGrid>
            <w:gridCol w:w="1290"/>
            <w:gridCol w:w="7275"/>
            <w:gridCol w:w="144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ffffff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0b5394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ffff"/>
                <w:sz w:val="20"/>
                <w:szCs w:val="20"/>
                <w:rtl w:val="0"/>
              </w:rPr>
              <w:t xml:space="preserve">Contexto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0b5394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ffff"/>
                <w:sz w:val="20"/>
                <w:szCs w:val="20"/>
                <w:rtl w:val="0"/>
              </w:rPr>
              <w:t xml:space="preserve">Referencia normativa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0b5394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ffff"/>
                <w:sz w:val="20"/>
                <w:szCs w:val="20"/>
                <w:rtl w:val="0"/>
              </w:rPr>
              <w:t xml:space="preserve">Enlace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39/2015, de 1 de octubre, de Procedimiento Administrativo Común de las AAPP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6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2/10/16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40/2015, de 1 de octubre, de Régimen Jurídico del Sector Público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2/10/16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9/2017, de 8 de noviembre, de Contratos del Sector Público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8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9/3/18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RDL 1/2010, de 2 de julio, TRL Sociedades de Capital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3/7/10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21/1992 de 16/07/1992, Ley de industria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0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23/7/92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Legislativo 1/1996, de 12 de abril, por el que se aprueba el Texto Refundido de la Ley de Propiedad Intelectual.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22/4/96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Directiva (UE) 2019/1024, del Parlamento Europea y el Consejo, de 20 de junio de 2019 relativa a los Datos Abiertos y la Reutilización de la información del sector público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DOUE 26/6/19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19/2013, de 9 de diciembre, de transparencia, acceso a la información pública y buen gobierno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10/12/13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34/2002, de 11 de julio, de Servicios de la Sociedad de la Información y de Comercio Electrónico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12/7/22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General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33/2003, de 3 de noviembre, de Patrimonio de las Administraciones Públicas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4/11/03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31/1995 de 08/11/1995, de Prevención de riesgos laborales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10/11/95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RD 39/1997, de 17 de enero, por el que se aprueba el Reglamento de los Servicios de Prevención, modificado por el RD 598/2015, de 3 de julio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4/7/15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513/2017, de 22 de mayo, por el que se aprueba el Reglamento de instalaciones de protección contra incendios.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12/6/17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2267/2004 de 3 de diciembre, Reglamento de seguridad contra incendios en establecimientos industriales.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17/12/04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842/2002, de 2 de agosto, por el que se aprueba el Reglamento electrotécnico para baja tensión.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18/09/02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1215/1997, de 18 de julio, por el que se establecen las disposiciones mínimas de seguridad y salud para la utilización por los trabajadores de los equipos de trabajo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7/8/97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337/2014, de 9 de mayo, por el que se </w:t>
            </w: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aprueban</w:t>
            </w: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 el Reglamento sobre condiciones técnicas y garantías de seguridad en instalaciones eléctricas de alta tensión y sus Instrucciones Técnicas Complementarias ITC-RAT 01 a 23.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9/6/14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5a3286"/>
                <w:sz w:val="20"/>
                <w:szCs w:val="20"/>
                <w:rtl w:val="0"/>
              </w:rPr>
              <w:t xml:space="preserve">Insfraestr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88/2013, de 8 de febrero, por el que se aprueba la Instrucción Técnica Complementaria AEM 1 "Ascensores" del Reglamento de aparatos de elevación y manutención, aprobado por Real Decreto 2291/1985, de 8 de noviembre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22/2/13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473821"/>
                <w:sz w:val="20"/>
                <w:szCs w:val="20"/>
                <w:rtl w:val="0"/>
              </w:rPr>
              <w:t xml:space="preserve">Prot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Reglamento UE 2016/6779 General de Protección de Datos (RGPD)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DOUE 27/4/16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473821"/>
                <w:sz w:val="20"/>
                <w:szCs w:val="20"/>
                <w:rtl w:val="0"/>
              </w:rPr>
              <w:t xml:space="preserve">Prot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LO 3/20188, de 5 diciembre, de Protección de Datos Personales y Garantá de Derechos Digitales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7/12/18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473821"/>
                <w:sz w:val="20"/>
                <w:szCs w:val="20"/>
                <w:rtl w:val="0"/>
              </w:rPr>
              <w:t xml:space="preserve">Prot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Orgánica 15/1999, de 13 de diciembre, de Protección de Datos de Carácter Personal.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6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14/12/99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473821"/>
                <w:sz w:val="20"/>
                <w:szCs w:val="20"/>
                <w:rtl w:val="0"/>
              </w:rPr>
              <w:t xml:space="preserve">Prot Datos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76" w:lineRule="auto"/>
              <w:rPr>
                <w:rFonts w:ascii="Nunito Sans" w:cs="Nunito Sans" w:eastAsia="Nunito Sans" w:hAnsi="Nunito Sans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Orgánica 7/2021, de 26 de mayo, de protección de datos personales tratados para fines de prevención, detección, investigación y enjuiciamiento de infracciones penales y de ejecución de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sanciones penales.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16/06/21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7/2022, de 8 de abril, de residuos y suelos contaminados para una economía circular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9/4/22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26/2007 de Responsabilidad Medioambiental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24/10/7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Orden TED/845/2023, de 18 de julio, por la que se aprueba el catálogo de medidas estandarizadas de eficiencia energética.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BOE-22/7/23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Resolución de 20 de octubre de 2023, de la Dirección General de Política Energética y Minas, por la que se modifica el Anexo I de la Orden TED/845/2023, de 18 de julio, por la que se aprueba el catálogo de medidas estandarizadas de eficiencia energética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1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27/10/23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DECRETO 283/1995, de 21 de noviembre, por el que se aprueba el Reglamento de Residuos de la Comunidad Autónoma de Andalucía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BOJA 19/12/95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11/1997 de 24/04/1997, de Envases y Residuos de Envases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3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25/4/97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110/2015, de 20 de febrero, sobre residuos de aparatos eléctricos y electrónicos.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4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21/2/15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ORDEN MAM/304/2002, de 8 de febrero, por la que se publican las operaciones de valorización y eliminación de residuos y la lista europea de residuos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5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19/2/02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106/2008 de 01/02/2008, sobre pilas y acumuladores y la gestión ambiental de sus residuos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6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12/2/08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Decreto 73/2012 de 20/03/2012, por el que se aprueba el Reglamento de Residuos de Andalucía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7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BOJA 26/4/12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11734b"/>
                <w:sz w:val="20"/>
                <w:szCs w:val="20"/>
                <w:rtl w:val="0"/>
              </w:rPr>
              <w:t xml:space="preserve">SGA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Recomendación (UE) 2024/1716 de la Comisión, de 19 de junio de 2024, por la que se establecen directrices para la interpretación de los artículos 5, 6 y 7 de la Directiva (UE) 2023/1791 del Parlamento Europeo y del Consejo en lo que respecta al consumo de energía en el sector público, la renovación de edificios públicos y la contratación pública [notificada con el número C(2024) 3744].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8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28/06/24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3d3d3d"/>
                <w:sz w:val="20"/>
                <w:szCs w:val="20"/>
                <w:rtl w:val="0"/>
              </w:rPr>
              <w:t xml:space="preserve">SGI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41/2002, de 14 de noviembre, básica reguladora de la autonomía del paciente y de derechos y obligaciones en materia de información y documentación clínica.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39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11/11/02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3d3d3d"/>
                <w:sz w:val="20"/>
                <w:szCs w:val="20"/>
                <w:rtl w:val="0"/>
              </w:rPr>
              <w:t xml:space="preserve">SGI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Real Decreto 487/2022, de 21 de junio, por el que se establecen los requisitos sanitarios para la prevención y el control de la legionelosis.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40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22/06/22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b10202"/>
                <w:sz w:val="20"/>
                <w:szCs w:val="20"/>
                <w:rtl w:val="0"/>
              </w:rPr>
              <w:t xml:space="preserve">SGS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Directiva NIS (UE) 2016/1148 Medidas destinadas a garantizar un elevado nivel común de seguridad de las redes y sistemas de información en la Unión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41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6/7/16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b10202"/>
                <w:sz w:val="20"/>
                <w:szCs w:val="20"/>
                <w:rtl w:val="0"/>
              </w:rPr>
              <w:t xml:space="preserve">SGS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59/2003, de 19 de diciembre, de firma electrónica.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42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20/12/03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b10202"/>
                <w:sz w:val="20"/>
                <w:szCs w:val="20"/>
                <w:rtl w:val="0"/>
              </w:rPr>
              <w:t xml:space="preserve">SGS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Ley 6/2020, de 11 de noviembre, reguladora de determinados aspectos de los servicios electrónicos de confianza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3f3f3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43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11/12/20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b10202"/>
                <w:sz w:val="20"/>
                <w:szCs w:val="20"/>
                <w:rtl w:val="0"/>
              </w:rPr>
              <w:t xml:space="preserve">SGS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sz w:val="20"/>
                <w:szCs w:val="20"/>
                <w:rtl w:val="0"/>
              </w:rPr>
              <w:t xml:space="preserve">RD 311/2022, de 3 de mayo, por el que se regula en Esquema Nacional de Seguridad (ENS)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5" w:val="single"/>
              <w:left w:color="cccccc" w:space="0" w:sz="5" w:val="single"/>
              <w:bottom w:color="cccccc" w:space="0" w:sz="5" w:val="single"/>
              <w:right w:color="cccccc" w:space="0" w:sz="5" w:val="single"/>
            </w:tcBorders>
            <w:shd w:fill="ffffff" w:val="clear"/>
            <w:tcMar>
              <w:top w:w="0.0" w:type="dxa"/>
              <w:left w:w="40.0" w:type="dxa"/>
              <w:bottom w:w="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hyperlink r:id="rId44">
              <w:r w:rsidDel="00000000" w:rsidR="00000000" w:rsidRPr="00000000">
                <w:rPr>
                  <w:rFonts w:ascii="Nunito Sans" w:cs="Nunito Sans" w:eastAsia="Nunito Sans" w:hAnsi="Nunito Sans"/>
                  <w:color w:val="1155cc"/>
                  <w:sz w:val="18"/>
                  <w:szCs w:val="18"/>
                  <w:u w:val="single"/>
                  <w:rtl w:val="0"/>
                </w:rPr>
                <w:t xml:space="preserve">BOE 4/5/22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unito Sans" w:cs="Nunito Sans" w:eastAsia="Nunito Sans" w:hAnsi="Nuni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Nunito Sans" w:cs="Nunito Sans" w:eastAsia="Nunito Sans" w:hAnsi="Nunito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sectPr>
      <w:headerReference r:id="rId45" w:type="default"/>
      <w:footerReference r:id="rId46" w:type="default"/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 ExtraBold">
    <w:embedBold w:fontKey="{00000000-0000-0000-0000-000000000000}" r:id="rId5" w:subsetted="0"/>
    <w:embedBoldItalic w:fontKey="{00000000-0000-0000-0000-000000000000}" r:id="rId6" w:subsetted="0"/>
  </w:font>
  <w:font w:name="Nuni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  <w:tab w:val="left" w:leader="none" w:pos="7795"/>
        <w:tab w:val="left" w:leader="none" w:pos="8504"/>
        <w:tab w:val="left" w:leader="none" w:pos="9213"/>
      </w:tabs>
      <w:rPr>
        <w:rFonts w:ascii="Century Gothic" w:cs="Century Gothic" w:eastAsia="Century Gothic" w:hAnsi="Century Gothic"/>
        <w:sz w:val="16"/>
        <w:szCs w:val="16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133350</wp:posOffset>
              </wp:positionV>
              <wp:extent cx="2743200" cy="766916"/>
              <wp:effectExtent b="0" l="0" r="0" t="0"/>
              <wp:wrapNone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950" y="0"/>
                        <a:ext cx="2743200" cy="766916"/>
                        <a:chOff x="18950" y="0"/>
                        <a:chExt cx="2766225" cy="758250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972" y="-12"/>
                          <a:ext cx="670829" cy="758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3897" y="-19"/>
                          <a:ext cx="670834" cy="75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3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48826" y="-19"/>
                          <a:ext cx="685803" cy="758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>
                      <pic:nvPicPr>
                        <pic:cNvPr id="5" name="Shape 5"/>
                        <pic:cNvPicPr preferRelativeResize="0"/>
                      </pic:nvPicPr>
                      <pic:blipFill rotWithShape="1">
                        <a:blip r:embed="rId4">
                          <a:alphaModFix/>
                        </a:blip>
                        <a:srcRect b="0" l="0" r="0" t="0"/>
                        <a:stretch/>
                      </pic:blipFill>
                      <pic:spPr>
                        <a:xfrm>
                          <a:off x="2181201" y="-23"/>
                          <a:ext cx="603969" cy="758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133350</wp:posOffset>
              </wp:positionV>
              <wp:extent cx="2743200" cy="766916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3200" cy="7669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3"/>
      <w:tblW w:w="6000.0" w:type="dxa"/>
      <w:jc w:val="left"/>
      <w:tblInd w:w="3808.0" w:type="dxa"/>
      <w:tblLayout w:type="fixed"/>
      <w:tblLook w:val="0000"/>
    </w:tblPr>
    <w:tblGrid>
      <w:gridCol w:w="5250"/>
      <w:gridCol w:w="750"/>
      <w:gridCol w:w="0"/>
      <w:tblGridChange w:id="0">
        <w:tblGrid>
          <w:gridCol w:w="5250"/>
          <w:gridCol w:w="750"/>
          <w:gridCol w:w="0"/>
        </w:tblGrid>
      </w:tblGridChange>
    </w:tblGrid>
    <w:tr>
      <w:trPr>
        <w:cantSplit w:val="1"/>
        <w:trHeight w:val="945" w:hRule="atLeast"/>
        <w:tblHeader w:val="0"/>
      </w:trPr>
      <w:tc>
        <w:tcPr>
          <w:tcBorders>
            <w:top w:color="073763" w:space="0" w:sz="6" w:val="single"/>
            <w:left w:color="073763" w:space="0" w:sz="6" w:val="single"/>
            <w:bottom w:color="073763" w:space="0" w:sz="6" w:val="single"/>
            <w:right w:color="073763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8B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Nunito" w:cs="Nunito" w:eastAsia="Nunito" w:hAnsi="Nunito"/>
              <w:color w:val="bf9000"/>
              <w:sz w:val="16"/>
              <w:szCs w:val="16"/>
            </w:rPr>
          </w:pPr>
          <w:r w:rsidDel="00000000" w:rsidR="00000000" w:rsidRPr="00000000">
            <w:rPr>
              <w:rFonts w:ascii="Nunito" w:cs="Nunito" w:eastAsia="Nunito" w:hAnsi="Nunito"/>
              <w:b w:val="1"/>
              <w:color w:val="bf9000"/>
              <w:sz w:val="22"/>
              <w:szCs w:val="22"/>
              <w:rtl w:val="0"/>
            </w:rPr>
            <w:t xml:space="preserve">Servicios Documentales de Andalucía</w:t>
          </w:r>
          <w:r w:rsidDel="00000000" w:rsidR="00000000" w:rsidRPr="00000000">
            <w:rPr>
              <w:rFonts w:ascii="Nunito" w:cs="Nunito" w:eastAsia="Nunito" w:hAnsi="Nunito"/>
              <w:sz w:val="18"/>
              <w:szCs w:val="18"/>
              <w:rtl w:val="0"/>
            </w:rPr>
            <w:t xml:space="preserve">,</w:t>
          </w:r>
          <w:r w:rsidDel="00000000" w:rsidR="00000000" w:rsidRPr="00000000">
            <w:rPr>
              <w:rFonts w:ascii="Nunito" w:cs="Nunito" w:eastAsia="Nunito" w:hAnsi="Nunito"/>
              <w:color w:val="073763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Fonts w:ascii="Nunito" w:cs="Nunito" w:eastAsia="Nunito" w:hAnsi="Nunito"/>
              <w:b w:val="1"/>
              <w:color w:val="bf9000"/>
              <w:sz w:val="18"/>
              <w:szCs w:val="18"/>
              <w:rtl w:val="0"/>
            </w:rPr>
            <w:t xml:space="preserve">SME, SLU</w:t>
          </w:r>
          <w:r w:rsidDel="00000000" w:rsidR="00000000" w:rsidRPr="00000000">
            <w:rPr>
              <w:rFonts w:ascii="Nunito" w:cs="Nunito" w:eastAsia="Nunito" w:hAnsi="Nunito"/>
              <w:color w:val="bf9000"/>
              <w:sz w:val="16"/>
              <w:szCs w:val="16"/>
              <w:rtl w:val="0"/>
            </w:rPr>
            <w:t xml:space="preserve"> </w:t>
          </w:r>
        </w:p>
        <w:p w:rsidR="00000000" w:rsidDel="00000000" w:rsidP="00000000" w:rsidRDefault="00000000" w:rsidRPr="00000000" w14:paraId="0000008C">
          <w:pPr>
            <w:widowControl w:val="0"/>
            <w:tabs>
              <w:tab w:val="center" w:leader="none" w:pos="4252"/>
              <w:tab w:val="right" w:leader="none" w:pos="8504"/>
            </w:tabs>
            <w:spacing w:line="276" w:lineRule="auto"/>
            <w:jc w:val="center"/>
            <w:rPr>
              <w:rFonts w:ascii="Nunito" w:cs="Nunito" w:eastAsia="Nunito" w:hAnsi="Nunito"/>
              <w:color w:val="073763"/>
              <w:sz w:val="16"/>
              <w:szCs w:val="16"/>
            </w:rPr>
          </w:pPr>
          <w:r w:rsidDel="00000000" w:rsidR="00000000" w:rsidRPr="00000000">
            <w:rPr>
              <w:rFonts w:ascii="Nunito" w:cs="Nunito" w:eastAsia="Nunito" w:hAnsi="Nunito"/>
              <w:color w:val="073763"/>
              <w:sz w:val="14"/>
              <w:szCs w:val="14"/>
              <w:rtl w:val="0"/>
            </w:rPr>
            <w:t xml:space="preserve">CÁDIZ 956291159 |</w:t>
          </w:r>
          <w:r w:rsidDel="00000000" w:rsidR="00000000" w:rsidRPr="00000000">
            <w:rPr>
              <w:rFonts w:ascii="Nunito" w:cs="Nunito" w:eastAsia="Nunito" w:hAnsi="Nunito"/>
              <w:color w:val="073763"/>
              <w:sz w:val="16"/>
              <w:szCs w:val="16"/>
              <w:rtl w:val="0"/>
            </w:rPr>
            <w:t xml:space="preserve">  </w:t>
          </w:r>
          <w:r w:rsidDel="00000000" w:rsidR="00000000" w:rsidRPr="00000000">
            <w:rPr>
              <w:rFonts w:ascii="Nunito" w:cs="Nunito" w:eastAsia="Nunito" w:hAnsi="Nunito"/>
              <w:color w:val="073763"/>
              <w:sz w:val="14"/>
              <w:szCs w:val="14"/>
              <w:rtl w:val="0"/>
            </w:rPr>
            <w:t xml:space="preserve">ALGECIRAS 956626807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D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Nunito" w:cs="Nunito" w:eastAsia="Nunito" w:hAnsi="Nunito"/>
              <w:b w:val="1"/>
              <w:color w:val="1c4587"/>
              <w:sz w:val="16"/>
              <w:szCs w:val="16"/>
            </w:rPr>
          </w:pPr>
          <w:hyperlink r:id="rId6">
            <w:r w:rsidDel="00000000" w:rsidR="00000000" w:rsidRPr="00000000">
              <w:rPr>
                <w:rFonts w:ascii="Nunito" w:cs="Nunito" w:eastAsia="Nunito" w:hAnsi="Nunito"/>
                <w:b w:val="1"/>
                <w:color w:val="1c4587"/>
                <w:rtl w:val="0"/>
              </w:rPr>
              <w:t xml:space="preserve">www.serviciosdocumentales.com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73763" w:space="0" w:sz="6" w:val="single"/>
            <w:left w:color="073763" w:space="0" w:sz="6" w:val="single"/>
            <w:bottom w:color="073763" w:space="0" w:sz="6" w:val="single"/>
            <w:right w:color="073763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8E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Nunito" w:cs="Nunito" w:eastAsia="Nunito" w:hAnsi="Nunito"/>
              <w:color w:val="073763"/>
              <w:sz w:val="20"/>
              <w:szCs w:val="20"/>
            </w:rPr>
          </w:pPr>
          <w:r w:rsidDel="00000000" w:rsidR="00000000" w:rsidRPr="00000000">
            <w:rPr>
              <w:rFonts w:ascii="Nunito" w:cs="Nunito" w:eastAsia="Nunito" w:hAnsi="Nunito"/>
              <w:color w:val="073763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Nunito" w:cs="Nunito" w:eastAsia="Nunito" w:hAnsi="Nunito"/>
              <w:color w:val="073763"/>
              <w:sz w:val="20"/>
              <w:szCs w:val="20"/>
              <w:rtl w:val="0"/>
            </w:rPr>
            <w:t xml:space="preserve">/</w:t>
          </w:r>
          <w:r w:rsidDel="00000000" w:rsidR="00000000" w:rsidRPr="00000000">
            <w:rPr>
              <w:rFonts w:ascii="Nunito" w:cs="Nunito" w:eastAsia="Nunito" w:hAnsi="Nunito"/>
              <w:color w:val="073763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225" w:hRule="atLeast"/>
        <w:tblHeader w:val="0"/>
      </w:trPr>
      <w:tc>
        <w:tcPr>
          <w:gridSpan w:val="2"/>
          <w:tcBorders>
            <w:top w:color="073763" w:space="0" w:sz="6" w:val="single"/>
            <w:left w:color="073763" w:space="0" w:sz="6" w:val="single"/>
            <w:bottom w:color="073763" w:space="0" w:sz="6" w:val="single"/>
            <w:right w:color="073763" w:space="0" w:sz="4" w:val="single"/>
          </w:tcBorders>
          <w:shd w:fill="f3f3f3" w:val="clear"/>
          <w:vAlign w:val="center"/>
        </w:tcPr>
        <w:p w:rsidR="00000000" w:rsidDel="00000000" w:rsidP="00000000" w:rsidRDefault="00000000" w:rsidRPr="00000000" w14:paraId="0000008F">
          <w:pPr>
            <w:tabs>
              <w:tab w:val="right" w:leader="none" w:pos="9632"/>
            </w:tabs>
            <w:jc w:val="center"/>
            <w:rPr>
              <w:rFonts w:ascii="Nunito" w:cs="Nunito" w:eastAsia="Nunito" w:hAnsi="Nunito"/>
              <w:b w:val="1"/>
              <w:color w:val="bf9000"/>
              <w:sz w:val="20"/>
              <w:szCs w:val="20"/>
            </w:rPr>
          </w:pPr>
          <w:r w:rsidDel="00000000" w:rsidR="00000000" w:rsidRPr="00000000">
            <w:rPr>
              <w:rFonts w:ascii="Nunito Sans" w:cs="Nunito Sans" w:eastAsia="Nunito Sans" w:hAnsi="Nunito Sans"/>
              <w:color w:val="073763"/>
              <w:sz w:val="16"/>
              <w:szCs w:val="16"/>
              <w:rtl w:val="0"/>
            </w:rPr>
            <w:t xml:space="preserve">El presente documento contiene información clasificada como</w:t>
          </w:r>
          <w:sdt>
            <w:sdtPr>
              <w:alias w:val="Configuración 1"/>
              <w:id w:val="381828270"/>
              <w:dropDownList w:lastValue="pública">
                <w:listItem w:displayText="pública" w:value="pública"/>
                <w:listItem w:displayText="interna" w:value="interna"/>
                <w:listItem w:displayText="de difusión limitada" w:value="de difusión limitada"/>
                <w:listItem w:displayText="confidencial" w:value="confidencial"/>
              </w:dropDownList>
            </w:sdtPr>
            <w:sdtContent>
              <w:r w:rsidDel="00000000" w:rsidR="00000000" w:rsidRPr="00000000">
                <w:rPr>
                  <w:rFonts w:ascii="Nunito Sans" w:cs="Nunito Sans" w:eastAsia="Nunito Sans" w:hAnsi="Nunito Sans"/>
                  <w:color w:val="11734b"/>
                  <w:sz w:val="14"/>
                  <w:szCs w:val="14"/>
                  <w:shd w:fill="d4edbc" w:val="clear"/>
                </w:rPr>
                <w:t xml:space="preserve">pública</w:t>
              </w:r>
            </w:sdtContent>
          </w:sdt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1">
    <w:pPr>
      <w:tabs>
        <w:tab w:val="center" w:leader="none" w:pos="4252"/>
        <w:tab w:val="right" w:leader="none" w:pos="8504"/>
      </w:tabs>
      <w:rPr>
        <w:rFonts w:ascii="Nunito Sans" w:cs="Nunito Sans" w:eastAsia="Nunito Sans" w:hAnsi="Nunito Sans"/>
        <w:color w:val="073763"/>
        <w:sz w:val="18"/>
        <w:szCs w:val="18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685800</wp:posOffset>
              </wp:positionH>
              <wp:positionV relativeFrom="paragraph">
                <wp:posOffset>114300</wp:posOffset>
              </wp:positionV>
              <wp:extent cx="5562600" cy="352823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 txBox="1"/>
                    <wps:cNvPr id="6" name="Shape 6"/>
                    <wps:spPr>
                      <a:xfrm>
                        <a:off x="336175" y="1352100"/>
                        <a:ext cx="7036200" cy="27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unito" w:cs="Nunito" w:eastAsia="Nunito" w:hAnsi="Nunito"/>
                              <w:b w:val="0"/>
                              <w:i w:val="0"/>
                              <w:smallCaps w:val="0"/>
                              <w:strike w:val="0"/>
                              <w:color w:val="073763"/>
                              <w:sz w:val="16"/>
                              <w:vertAlign w:val="baseline"/>
                            </w:rPr>
                            <w:t xml:space="preserve">Servicios Documentales de Andalucía, SME, SLU. CIF  B-11476074. Inscrita en el Registro Mercantil de Cádiz al tomo 1371, folio 84, Hoja CA-18.160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unito Sans" w:cs="Nunito Sans" w:eastAsia="Nunito Sans" w:hAnsi="Nuni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685800</wp:posOffset>
              </wp:positionH>
              <wp:positionV relativeFrom="paragraph">
                <wp:posOffset>114300</wp:posOffset>
              </wp:positionV>
              <wp:extent cx="5562600" cy="352823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62600" cy="35282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92">
    <w:pPr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  <w:tab w:val="left" w:leader="none" w:pos="7795"/>
        <w:tab w:val="left" w:leader="none" w:pos="8504"/>
        <w:tab w:val="left" w:leader="none" w:pos="9213"/>
      </w:tabs>
      <w:rPr>
        <w:rFonts w:ascii="Century Gothic" w:cs="Century Gothic" w:eastAsia="Century Gothic" w:hAnsi="Century Gothic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rPr>
        <w:rFonts w:ascii="Century Gothic" w:cs="Century Gothic" w:eastAsia="Century Gothic" w:hAnsi="Century Gothic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E">
    <w:pPr>
      <w:widowControl w:val="0"/>
      <w:spacing w:line="276" w:lineRule="auto"/>
      <w:rPr>
        <w:rFonts w:ascii="Courier New" w:cs="Courier New" w:eastAsia="Courier New" w:hAnsi="Courier New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2"/>
      <w:tblW w:w="9690.0" w:type="dxa"/>
      <w:jc w:val="left"/>
      <w:tblInd w:w="-205.0" w:type="dxa"/>
      <w:tblLayout w:type="fixed"/>
      <w:tblLook w:val="0000"/>
    </w:tblPr>
    <w:tblGrid>
      <w:gridCol w:w="1950"/>
      <w:gridCol w:w="1545"/>
      <w:gridCol w:w="2940"/>
      <w:gridCol w:w="1170"/>
      <w:gridCol w:w="2085"/>
      <w:tblGridChange w:id="0">
        <w:tblGrid>
          <w:gridCol w:w="1950"/>
          <w:gridCol w:w="1545"/>
          <w:gridCol w:w="2940"/>
          <w:gridCol w:w="1170"/>
          <w:gridCol w:w="2085"/>
        </w:tblGrid>
      </w:tblGridChange>
    </w:tblGrid>
    <w:tr>
      <w:trPr>
        <w:cantSplit w:val="1"/>
        <w:trHeight w:val="555" w:hRule="atLeast"/>
        <w:tblHeader w:val="0"/>
      </w:trPr>
      <w:tc>
        <w:tcPr>
          <w:vMerge w:val="restart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7F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Courier New" w:cs="Courier New" w:eastAsia="Courier New" w:hAnsi="Courier New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-9524</wp:posOffset>
                </wp:positionH>
                <wp:positionV relativeFrom="paragraph">
                  <wp:posOffset>635</wp:posOffset>
                </wp:positionV>
                <wp:extent cx="1287145" cy="740410"/>
                <wp:effectExtent b="0" l="0" r="0" t="0"/>
                <wp:wrapNone/>
                <wp:docPr id="4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1"/>
                        <a:srcRect b="9405" l="0" r="0" t="95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145" cy="740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gridSpan w:val="3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80">
          <w:pPr>
            <w:widowControl w:val="0"/>
            <w:tabs>
              <w:tab w:val="center" w:leader="none" w:pos="4252"/>
              <w:tab w:val="right" w:leader="none" w:pos="8504"/>
            </w:tabs>
            <w:ind w:right="97.44094488189148"/>
            <w:jc w:val="center"/>
            <w:rPr>
              <w:rFonts w:ascii="Nunito Sans ExtraBold" w:cs="Nunito Sans ExtraBold" w:eastAsia="Nunito Sans ExtraBold" w:hAnsi="Nunito Sans ExtraBold"/>
              <w:color w:val="073763"/>
              <w:sz w:val="22"/>
              <w:szCs w:val="22"/>
            </w:rPr>
          </w:pPr>
          <w:r w:rsidDel="00000000" w:rsidR="00000000" w:rsidRPr="00000000">
            <w:rPr>
              <w:rFonts w:ascii="Nunito Sans ExtraBold" w:cs="Nunito Sans ExtraBold" w:eastAsia="Nunito Sans ExtraBold" w:hAnsi="Nunito Sans ExtraBold"/>
              <w:color w:val="073763"/>
              <w:sz w:val="22"/>
              <w:szCs w:val="22"/>
              <w:rtl w:val="0"/>
            </w:rPr>
            <w:t xml:space="preserve">Información Portal de Transparencia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83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Courier New" w:cs="Courier New" w:eastAsia="Courier New" w:hAnsi="Courier New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22225</wp:posOffset>
                </wp:positionH>
                <wp:positionV relativeFrom="paragraph">
                  <wp:posOffset>635</wp:posOffset>
                </wp:positionV>
                <wp:extent cx="1229995" cy="1905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995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  <w:tr>
      <w:trPr>
        <w:cantSplit w:val="1"/>
        <w:trHeight w:val="585" w:hRule="atLeast"/>
        <w:tblHeader w:val="0"/>
      </w:trPr>
      <w:tc>
        <w:tcPr>
          <w:vMerge w:val="continue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84">
          <w:pPr>
            <w:widowControl w:val="0"/>
            <w:spacing w:line="276" w:lineRule="auto"/>
            <w:rPr>
              <w:rFonts w:ascii="Courier New" w:cs="Courier New" w:eastAsia="Courier New" w:hAnsi="Courier New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85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Nunito Sans" w:cs="Nunito Sans" w:eastAsia="Nunito Sans" w:hAnsi="Nunito Sans"/>
              <w:b w:val="1"/>
              <w:color w:val="073763"/>
              <w:sz w:val="20"/>
              <w:szCs w:val="20"/>
            </w:rPr>
          </w:pPr>
          <w:sdt>
            <w:sdtPr>
              <w:alias w:val="Configuración 1"/>
              <w:id w:val="-1836353968"/>
              <w:dropDownList w:lastValue="CumpNorm">
                <w:listItem w:displayText="SGSI" w:value="SGSI"/>
                <w:listItem w:displayText="SGC" w:value="SGC"/>
                <w:listItem w:displayText="SGA" w:value="SGA"/>
                <w:listItem w:displayText="SGP" w:value="SGP"/>
                <w:listItem w:displayText="CumpNorm" w:value="CumpNorm"/>
              </w:dropDownList>
            </w:sdtPr>
            <w:sdtContent>
              <w:r w:rsidDel="00000000" w:rsidR="00000000" w:rsidRPr="00000000">
                <w:rPr>
                  <w:rFonts w:ascii="Nunito Sans" w:cs="Nunito Sans" w:eastAsia="Nunito Sans" w:hAnsi="Nunito Sans"/>
                  <w:color w:val="000000"/>
                  <w:sz w:val="20"/>
                  <w:szCs w:val="20"/>
                  <w:shd w:fill="e8eaed" w:val="clear"/>
                </w:rPr>
                <w:t xml:space="preserve">CumpNorm</w:t>
              </w:r>
            </w:sdtContent>
          </w:sdt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86">
          <w:pPr>
            <w:widowControl w:val="0"/>
            <w:tabs>
              <w:tab w:val="center" w:leader="none" w:pos="4252"/>
              <w:tab w:val="right" w:leader="none" w:pos="8504"/>
            </w:tabs>
            <w:jc w:val="center"/>
            <w:rPr>
              <w:rFonts w:ascii="Nunito Sans" w:cs="Nunito Sans" w:eastAsia="Nunito Sans" w:hAnsi="Nunito Sans"/>
              <w:b w:val="1"/>
              <w:color w:val="073763"/>
              <w:sz w:val="20"/>
              <w:szCs w:val="20"/>
            </w:rPr>
          </w:pPr>
          <w:r w:rsidDel="00000000" w:rsidR="00000000" w:rsidRPr="00000000">
            <w:rPr>
              <w:rFonts w:ascii="Nunito Sans" w:cs="Nunito Sans" w:eastAsia="Nunito Sans" w:hAnsi="Nunito Sans"/>
              <w:b w:val="1"/>
              <w:color w:val="073763"/>
              <w:sz w:val="20"/>
              <w:szCs w:val="20"/>
              <w:rtl w:val="0"/>
            </w:rPr>
            <w:t xml:space="preserve">SDA-CN-Legislación Aplicable-240726</w:t>
          </w:r>
        </w:p>
      </w:tc>
      <w:tc>
        <w:tcPr>
          <w:vMerge w:val="continue"/>
          <w:tcBorders>
            <w:top w:color="1c4587" w:space="0" w:sz="4" w:val="single"/>
            <w:left w:color="1c4587" w:space="0" w:sz="4" w:val="single"/>
            <w:bottom w:color="1c4587" w:space="0" w:sz="4" w:val="single"/>
            <w:right w:color="1c4587" w:space="0" w:sz="4" w:val="single"/>
          </w:tcBorders>
          <w:vAlign w:val="center"/>
        </w:tcPr>
        <w:p w:rsidR="00000000" w:rsidDel="00000000" w:rsidP="00000000" w:rsidRDefault="00000000" w:rsidRPr="00000000" w14:paraId="00000088">
          <w:pPr>
            <w:widowControl w:val="0"/>
            <w:spacing w:line="276" w:lineRule="auto"/>
            <w:rPr>
              <w:rFonts w:ascii="Century Gothic" w:cs="Century Gothic" w:eastAsia="Century Gothic" w:hAnsi="Century Gothic"/>
              <w:b w:val="1"/>
              <w:color w:val="073763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="276" w:lineRule="auto"/>
      <w:jc w:val="both"/>
    </w:pPr>
    <w:rPr>
      <w:rFonts w:ascii="Nunito Sans" w:cs="Nunito Sans" w:eastAsia="Nunito Sans" w:hAnsi="Nunito Sans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boe.es/buscar/act.php?id=BOE-A-2022-10297" TargetMode="External"/><Relationship Id="rId20" Type="http://schemas.openxmlformats.org/officeDocument/2006/relationships/hyperlink" Target="http://www.boe.es/diario_boe/txt.php?id=BOE-A-2002-18099" TargetMode="External"/><Relationship Id="rId42" Type="http://schemas.openxmlformats.org/officeDocument/2006/relationships/hyperlink" Target="https://www.boe.es/buscar/act.php?id=BOE-A-2003-23399" TargetMode="External"/><Relationship Id="rId41" Type="http://schemas.openxmlformats.org/officeDocument/2006/relationships/hyperlink" Target="https://www.boe.es/doue/2016/194/L00001-00030.pdf" TargetMode="External"/><Relationship Id="rId22" Type="http://schemas.openxmlformats.org/officeDocument/2006/relationships/hyperlink" Target="https://www.boe.es/buscar/doc.php?id=BOE-A-2014-6084" TargetMode="External"/><Relationship Id="rId44" Type="http://schemas.openxmlformats.org/officeDocument/2006/relationships/hyperlink" Target="https://www.boe.es/buscar/act.php?id=BOE-A-2022-7191" TargetMode="External"/><Relationship Id="rId21" Type="http://schemas.openxmlformats.org/officeDocument/2006/relationships/hyperlink" Target="https://www.boe.es/buscar/act.php?id=BOE-A-1997-17824&amp;p=20041113&amp;tn=2" TargetMode="External"/><Relationship Id="rId43" Type="http://schemas.openxmlformats.org/officeDocument/2006/relationships/hyperlink" Target="https://www.boe.es/buscar/act.php?id=BOE-A-2020-14046&amp;p=20201112&amp;tn=2" TargetMode="External"/><Relationship Id="rId24" Type="http://schemas.openxmlformats.org/officeDocument/2006/relationships/hyperlink" Target="https://www.privacy-regulation.eu/es/" TargetMode="External"/><Relationship Id="rId46" Type="http://schemas.openxmlformats.org/officeDocument/2006/relationships/footer" Target="footer1.xml"/><Relationship Id="rId23" Type="http://schemas.openxmlformats.org/officeDocument/2006/relationships/hyperlink" Target="https://www.boe.es/buscar/act.php?id=BOE-A-2013-1969" TargetMode="External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oe.es/eli/es/rdlg/2010/07/02/1/con" TargetMode="External"/><Relationship Id="rId26" Type="http://schemas.openxmlformats.org/officeDocument/2006/relationships/hyperlink" Target="https://www.boe.es/buscar/act.php?id=BOE-A-1999-23750" TargetMode="External"/><Relationship Id="rId25" Type="http://schemas.openxmlformats.org/officeDocument/2006/relationships/hyperlink" Target="https://www.boe.es/buscar/act.php?id=BOE-A-2018-16673" TargetMode="External"/><Relationship Id="rId28" Type="http://schemas.openxmlformats.org/officeDocument/2006/relationships/hyperlink" Target="https://www.boe.es/buscar/act.php?id=BOE-A-2022-5809&amp;tn=1&amp;p=20221224" TargetMode="External"/><Relationship Id="rId27" Type="http://schemas.openxmlformats.org/officeDocument/2006/relationships/hyperlink" Target="https://www.boe.es/buscar/act.php?id=BOE-A-2021-8806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boe.es/buscar/act.php?id=BOE-A-2015-10565" TargetMode="External"/><Relationship Id="rId29" Type="http://schemas.openxmlformats.org/officeDocument/2006/relationships/hyperlink" Target="https://www.boe.es/buscar/act.php?id=BOE-A-2007-18475&amp;tn=1&amp;p=20210428" TargetMode="External"/><Relationship Id="rId7" Type="http://schemas.openxmlformats.org/officeDocument/2006/relationships/hyperlink" Target="https://www.boe.es/buscar/act.php?id=BOE-A-2015-10566" TargetMode="External"/><Relationship Id="rId8" Type="http://schemas.openxmlformats.org/officeDocument/2006/relationships/hyperlink" Target="https://www.boe.es/buscar/act.php?id=BOE-A-2017-12902" TargetMode="External"/><Relationship Id="rId31" Type="http://schemas.openxmlformats.org/officeDocument/2006/relationships/hyperlink" Target="https://www.boe.es/diario_boe/txt.php?id=BOE-A-2023-22077" TargetMode="External"/><Relationship Id="rId30" Type="http://schemas.openxmlformats.org/officeDocument/2006/relationships/hyperlink" Target="https://www.boe.es/diario_boe/txt.php?id=BOE-A-2023-16940" TargetMode="External"/><Relationship Id="rId11" Type="http://schemas.openxmlformats.org/officeDocument/2006/relationships/hyperlink" Target="https://www.boe.es/buscar/act.php?id=BOE-A-1996-8930" TargetMode="External"/><Relationship Id="rId33" Type="http://schemas.openxmlformats.org/officeDocument/2006/relationships/hyperlink" Target="http://www.boe.es/diario_boe/txt.php?id=BOE-A-1997-8875" TargetMode="External"/><Relationship Id="rId10" Type="http://schemas.openxmlformats.org/officeDocument/2006/relationships/hyperlink" Target="http://www.boe.es/diario_boe/txt.php?id=BOE-A-1992-17363" TargetMode="External"/><Relationship Id="rId32" Type="http://schemas.openxmlformats.org/officeDocument/2006/relationships/hyperlink" Target="http://www.juntadeandalucia.es/boja/1995/161/1" TargetMode="External"/><Relationship Id="rId13" Type="http://schemas.openxmlformats.org/officeDocument/2006/relationships/hyperlink" Target="https://www.boe.es/buscar/act.php?id=BOE-A-2013-12887" TargetMode="External"/><Relationship Id="rId35" Type="http://schemas.openxmlformats.org/officeDocument/2006/relationships/hyperlink" Target="http://www.boe.es/diario_boe/txt.php?id=BOE-A-2002-3285" TargetMode="External"/><Relationship Id="rId12" Type="http://schemas.openxmlformats.org/officeDocument/2006/relationships/hyperlink" Target="https://eur-lex.europa.eu/legal-content/EN/TXT/PDF/?uri=uriserv:OJ.L_.2019.172.01.0056.01.SPA" TargetMode="External"/><Relationship Id="rId34" Type="http://schemas.openxmlformats.org/officeDocument/2006/relationships/hyperlink" Target="https://www.boe.es/buscar/doc.php?id=BOE-A-2015-1762" TargetMode="External"/><Relationship Id="rId15" Type="http://schemas.openxmlformats.org/officeDocument/2006/relationships/hyperlink" Target="https://www.boe.es/buscar/act.php?id=BOE-A-2003-20254" TargetMode="External"/><Relationship Id="rId37" Type="http://schemas.openxmlformats.org/officeDocument/2006/relationships/hyperlink" Target="http://www.juntadeandalucia.es/boja/2012/81/4" TargetMode="External"/><Relationship Id="rId14" Type="http://schemas.openxmlformats.org/officeDocument/2006/relationships/hyperlink" Target="https://www.boe.es/buscar/act.php?id=BOE-A-2002-13758" TargetMode="External"/><Relationship Id="rId36" Type="http://schemas.openxmlformats.org/officeDocument/2006/relationships/hyperlink" Target="http://www.boe.es/diario_boe/txt.php?id=BOE-A-2008-2388" TargetMode="External"/><Relationship Id="rId17" Type="http://schemas.openxmlformats.org/officeDocument/2006/relationships/hyperlink" Target="https://www.boe.es/buscar/doc.php?id=BOE-A-2015-7458" TargetMode="External"/><Relationship Id="rId39" Type="http://schemas.openxmlformats.org/officeDocument/2006/relationships/hyperlink" Target="https://www.boe.es/buscar/act.php?id=BOE-A-2002-22188" TargetMode="External"/><Relationship Id="rId16" Type="http://schemas.openxmlformats.org/officeDocument/2006/relationships/hyperlink" Target="http://www.boe.es/diario_boe/txt.php?id=BOE-A-1995-24292" TargetMode="External"/><Relationship Id="rId38" Type="http://schemas.openxmlformats.org/officeDocument/2006/relationships/hyperlink" Target="https://www.boe.es/buscar/doc.php?id=DOUE-L-2024-81001" TargetMode="External"/><Relationship Id="rId19" Type="http://schemas.openxmlformats.org/officeDocument/2006/relationships/hyperlink" Target="http://www.boe.es/diario_boe/txt.php?id=BOE-A-2004-21216" TargetMode="External"/><Relationship Id="rId18" Type="http://schemas.openxmlformats.org/officeDocument/2006/relationships/hyperlink" Target="https://boe.es/buscar/act.php?id=BOE-A-2017-6606&amp;p=20210428&amp;tn=2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unitoSans-boldItalic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Relationship Id="rId9" Type="http://schemas.openxmlformats.org/officeDocument/2006/relationships/font" Target="fonts/NunitoSans-italic.ttf"/><Relationship Id="rId14" Type="http://schemas.openxmlformats.org/officeDocument/2006/relationships/font" Target="fonts/CenturyGothic-boldItalic.ttf"/><Relationship Id="rId5" Type="http://schemas.openxmlformats.org/officeDocument/2006/relationships/font" Target="fonts/NunitoSansExtraBold-bold.ttf"/><Relationship Id="rId6" Type="http://schemas.openxmlformats.org/officeDocument/2006/relationships/font" Target="fonts/NunitoSansExtraBold-boldItalic.ttf"/><Relationship Id="rId7" Type="http://schemas.openxmlformats.org/officeDocument/2006/relationships/font" Target="fonts/NunitoSans-regular.ttf"/><Relationship Id="rId8" Type="http://schemas.openxmlformats.org/officeDocument/2006/relationships/font" Target="fonts/NunitoSa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4.jpg"/><Relationship Id="rId3" Type="http://schemas.openxmlformats.org/officeDocument/2006/relationships/image" Target="media/image6.png"/><Relationship Id="rId4" Type="http://schemas.openxmlformats.org/officeDocument/2006/relationships/image" Target="media/image5.png"/><Relationship Id="rId5" Type="http://schemas.openxmlformats.org/officeDocument/2006/relationships/image" Target="media/image3.png"/><Relationship Id="rId6" Type="http://schemas.openxmlformats.org/officeDocument/2006/relationships/hyperlink" Target="https://serviciosdocumentales.com/" TargetMode="External"/><Relationship Id="rId7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